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jc w:val="center"/>
        <w:rPr/>
      </w:pPr>
      <w:r>
        <w:rPr>
          <w:rFonts w:cs="Arial" w:ascii="Arial" w:hAnsi="Arial"/>
          <w:b/>
          <w:bCs/>
          <w:sz w:val="20"/>
          <w:szCs w:val="24"/>
        </w:rPr>
        <w:t>PE (SR</w:t>
      </w:r>
      <w:bookmarkStart w:id="0" w:name="_GoBack"/>
      <w:bookmarkEnd w:id="0"/>
      <w:r>
        <w:rPr>
          <w:rFonts w:cs="Arial" w:ascii="Arial" w:hAnsi="Arial"/>
          <w:b/>
          <w:bCs/>
          <w:sz w:val="20"/>
          <w:szCs w:val="24"/>
        </w:rPr>
        <w:t xml:space="preserve">P) </w:t>
      </w:r>
      <w:r>
        <w:rPr>
          <w:rFonts w:cs="Arial" w:ascii="Arial" w:hAnsi="Arial"/>
          <w:b/>
          <w:bCs/>
          <w:sz w:val="20"/>
          <w:szCs w:val="24"/>
        </w:rPr>
        <w:t>27</w:t>
      </w:r>
      <w:r>
        <w:rPr>
          <w:rFonts w:cs="Arial" w:ascii="Arial" w:hAnsi="Arial"/>
          <w:b/>
          <w:bCs/>
          <w:sz w:val="20"/>
          <w:szCs w:val="24"/>
        </w:rPr>
        <w:t>/20</w:t>
      </w:r>
      <w:r>
        <w:rPr>
          <w:rFonts w:cs="Arial" w:ascii="Arial" w:hAnsi="Arial"/>
          <w:b/>
          <w:bCs/>
          <w:sz w:val="20"/>
          <w:szCs w:val="24"/>
        </w:rPr>
        <w:t>20</w:t>
      </w:r>
    </w:p>
    <w:p>
      <w:pPr>
        <w:pStyle w:val="Normal"/>
        <w:spacing w:lineRule="auto" w:line="240" w:before="0" w:after="0"/>
        <w:jc w:val="right"/>
        <w:rPr>
          <w:rFonts w:ascii="TimesNewRomanPS-BoldMT" w:hAnsi="TimesNewRomanPS-BoldMT" w:cs="TimesNewRomanPS-BoldMT"/>
          <w:b/>
          <w:b/>
          <w:bCs/>
          <w:color w:val="000000"/>
        </w:rPr>
      </w:pPr>
      <w:r>
        <w:rPr>
          <w:rFonts w:cs="TimesNewRomanPS-BoldMT" w:ascii="TimesNewRomanPS-BoldMT" w:hAnsi="TimesNewRomanPS-BoldMT"/>
          <w:b/>
          <w:bCs/>
          <w:color w:val="000000"/>
        </w:rPr>
        <w:t>ANEXO IV</w:t>
      </w:r>
    </w:p>
    <w:p>
      <w:pPr>
        <w:pStyle w:val="Normal"/>
        <w:spacing w:lineRule="auto" w:line="360"/>
        <w:jc w:val="center"/>
        <w:rPr/>
      </w:pPr>
      <w:r>
        <w:rPr>
          <w:rFonts w:cs="Arial" w:ascii="Arial" w:hAnsi="Arial"/>
          <w:b/>
          <w:bCs/>
          <w:sz w:val="20"/>
          <w:szCs w:val="24"/>
        </w:rPr>
        <w:t>PROCESSO ADMINISTRATIVO N° 63079.002544/2019-31</w:t>
      </w:r>
    </w:p>
    <w:p>
      <w:pPr>
        <w:pStyle w:val="Normal"/>
        <w:spacing w:lineRule="auto" w:line="240" w:before="0" w:after="0"/>
        <w:jc w:val="center"/>
        <w:rPr>
          <w:rFonts w:ascii="TimesNewRomanPS-BoldMT" w:hAnsi="TimesNewRomanPS-BoldMT" w:cs="TimesNewRomanPS-BoldMT"/>
          <w:b/>
          <w:b/>
          <w:bCs/>
          <w:color w:val="000000"/>
        </w:rPr>
      </w:pPr>
      <w:r>
        <w:rPr>
          <w:rFonts w:cs="TimesNewRomanPS-BoldMT" w:ascii="TimesNewRomanPS-BoldMT" w:hAnsi="TimesNewRomanPS-BoldMT"/>
          <w:b/>
          <w:bCs/>
          <w:color w:val="000000"/>
        </w:rPr>
      </w:r>
    </w:p>
    <w:p>
      <w:pPr>
        <w:pStyle w:val="Normal"/>
        <w:spacing w:lineRule="auto" w:line="240" w:before="0" w:after="0"/>
        <w:jc w:val="center"/>
        <w:rPr>
          <w:rFonts w:ascii="TimesNewRomanPS-BoldMT" w:hAnsi="TimesNewRomanPS-BoldMT" w:cs="TimesNewRomanPS-BoldMT"/>
          <w:b/>
          <w:b/>
          <w:bCs/>
          <w:color w:val="000000"/>
        </w:rPr>
      </w:pPr>
      <w:r>
        <w:rPr>
          <w:rFonts w:cs="TimesNewRomanPS-BoldMT" w:ascii="TimesNewRomanPS-BoldMT" w:hAnsi="TimesNewRomanPS-BoldMT"/>
          <w:b/>
          <w:bCs/>
          <w:color w:val="000000"/>
        </w:rPr>
        <w:t>DECLARAÇÃO DE REGULARIDADE SOCIAL</w:t>
      </w:r>
    </w:p>
    <w:p>
      <w:pPr>
        <w:pStyle w:val="Normal"/>
        <w:spacing w:lineRule="auto" w:line="240" w:before="0" w:after="0"/>
        <w:jc w:val="center"/>
        <w:rPr>
          <w:rFonts w:ascii="TimesNewRomanPS-BoldMT" w:hAnsi="TimesNewRomanPS-BoldMT" w:cs="TimesNewRomanPS-BoldMT"/>
          <w:b/>
          <w:b/>
          <w:bCs/>
          <w:color w:val="000000"/>
        </w:rPr>
      </w:pPr>
      <w:r>
        <w:rPr>
          <w:rFonts w:cs="TimesNewRomanPS-BoldMT" w:ascii="TimesNewRomanPS-BoldMT" w:hAnsi="TimesNewRomanPS-BoldMT"/>
          <w:b/>
          <w:bCs/>
          <w:color w:val="000000"/>
        </w:rPr>
        <w:t>Critério de Sustentabilidade – Perspectiva Sócio Ambiental (Item 23 do Edital)</w:t>
      </w:r>
    </w:p>
    <w:p>
      <w:pPr>
        <w:pStyle w:val="Normal"/>
        <w:spacing w:lineRule="auto" w:line="240" w:before="0" w:after="0"/>
        <w:jc w:val="center"/>
        <w:rPr>
          <w:rFonts w:ascii="TimesNewRomanPS-BoldMT" w:hAnsi="TimesNewRomanPS-BoldMT" w:cs="TimesNewRomanPS-BoldMT"/>
          <w:b/>
          <w:b/>
          <w:bCs/>
          <w:color w:val="000000"/>
        </w:rPr>
      </w:pPr>
      <w:r>
        <w:rPr>
          <w:rFonts w:cs="TimesNewRomanPS-BoldMT" w:ascii="TimesNewRomanPS-BoldMT" w:hAnsi="TimesNewRomanPS-BoldMT"/>
          <w:b/>
          <w:bCs/>
          <w:color w:val="000000"/>
        </w:rPr>
      </w:r>
    </w:p>
    <w:p>
      <w:pPr>
        <w:pStyle w:val="Normal"/>
        <w:spacing w:lineRule="auto" w:line="240" w:before="0" w:after="0"/>
        <w:jc w:val="center"/>
        <w:rPr>
          <w:rFonts w:ascii="TimesNewRomanPS-BoldMT" w:hAnsi="TimesNewRomanPS-BoldMT" w:cs="TimesNewRomanPS-BoldMT"/>
          <w:b/>
          <w:b/>
          <w:bCs/>
          <w:color w:val="CF181E"/>
        </w:rPr>
      </w:pPr>
      <w:r>
        <w:rPr>
          <w:rFonts w:cs="TimesNewRomanPS-BoldMT" w:ascii="TimesNewRomanPS-BoldMT" w:hAnsi="TimesNewRomanPS-BoldMT"/>
          <w:b/>
          <w:bCs/>
          <w:color w:val="CF181E"/>
        </w:rPr>
        <w:t>(Emitir em papel timbrado da empresa)</w:t>
      </w:r>
    </w:p>
    <w:p>
      <w:pPr>
        <w:pStyle w:val="Normal"/>
        <w:spacing w:lineRule="auto" w:line="240" w:before="0" w:after="0"/>
        <w:rPr>
          <w:rFonts w:ascii="TimesNewRomanPS-BoldMT" w:hAnsi="TimesNewRomanPS-BoldMT" w:cs="TimesNewRomanPS-BoldMT"/>
          <w:b/>
          <w:b/>
          <w:bCs/>
          <w:color w:val="CF181E"/>
        </w:rPr>
      </w:pPr>
      <w:r>
        <w:rPr>
          <w:rFonts w:cs="TimesNewRomanPS-BoldMT" w:ascii="TimesNewRomanPS-BoldMT" w:hAnsi="TimesNewRomanPS-BoldMT"/>
          <w:b/>
          <w:bCs/>
          <w:color w:val="CF181E"/>
        </w:rPr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NewRomanPSMT" w:ascii="TimesNewRomanPSMT" w:hAnsi="TimesNewRomanPSMT"/>
          <w:color w:val="000000"/>
        </w:rPr>
        <w:t xml:space="preserve">(Nome/razão social) ____________________________________, inscrita no CNPJ nº___________, por intermédio de seu representante legal o(a) Sr.(a)_____________________, para fins de participação no Pregão Eletrônico nº </w:t>
      </w:r>
      <w:r>
        <w:rPr>
          <w:rFonts w:cs="TimesNewRomanPSMT" w:ascii="TimesNewRomanPSMT" w:hAnsi="TimesNewRomanPSMT"/>
          <w:color w:val="000000"/>
        </w:rPr>
        <w:t>27</w:t>
      </w:r>
      <w:r>
        <w:rPr>
          <w:rFonts w:cs="TimesNewRomanPSMT" w:ascii="TimesNewRomanPSMT" w:hAnsi="TimesNewRomanPSMT"/>
          <w:color w:val="000000"/>
        </w:rPr>
        <w:t>/20</w:t>
      </w:r>
      <w:r>
        <w:rPr>
          <w:rFonts w:cs="TimesNewRomanPSMT" w:ascii="TimesNewRomanPSMT" w:hAnsi="TimesNewRomanPSMT"/>
          <w:color w:val="000000"/>
        </w:rPr>
        <w:t>20</w:t>
      </w:r>
      <w:r>
        <w:rPr>
          <w:rFonts w:cs="TimesNewRomanPSMT" w:ascii="TimesNewRomanPSMT" w:hAnsi="TimesNewRomanPSMT"/>
          <w:color w:val="000000"/>
        </w:rPr>
        <w:t xml:space="preserve"> e como condição para futura contratação de aquisição de mobiliário junto à Diretoria de Abastecimento da Marinha, </w:t>
      </w:r>
      <w:r>
        <w:rPr>
          <w:rFonts w:cs="TimesNewRomanPS-BoldMT" w:ascii="TimesNewRomanPS-BoldMT" w:hAnsi="TimesNewRomanPS-BoldMT"/>
          <w:b/>
          <w:bCs/>
          <w:color w:val="000000"/>
        </w:rPr>
        <w:t xml:space="preserve">DECLARA, </w:t>
      </w:r>
      <w:r>
        <w:rPr>
          <w:rFonts w:cs="TimesNewRomanPSMT" w:ascii="TimesNewRomanPSMT" w:hAnsi="TimesNewRomanPSMT"/>
          <w:color w:val="000000"/>
        </w:rPr>
        <w:t>sob as penas da lei:</w:t>
      </w:r>
    </w:p>
    <w:p>
      <w:pPr>
        <w:pStyle w:val="Normal"/>
        <w:spacing w:lineRule="auto" w:line="240" w:before="0" w:after="0"/>
        <w:jc w:val="both"/>
        <w:rPr>
          <w:rFonts w:ascii="TimesNewRomanPSMT" w:hAnsi="TimesNewRomanPSMT" w:cs="TimesNewRomanPSMT"/>
          <w:color w:val="000000"/>
        </w:rPr>
      </w:pPr>
      <w:r>
        <w:rPr>
          <w:rFonts w:cs="TimesNewRomanPSMT" w:ascii="TimesNewRomanPSMT" w:hAnsi="TimesNewRomanPSMT"/>
          <w:color w:val="000000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NewRomanPSMT" w:hAnsi="TimesNewRomanPSMT" w:cs="TimesNewRomanPSMT"/>
          <w:color w:val="000000"/>
        </w:rPr>
      </w:pPr>
      <w:r>
        <w:rPr>
          <w:rFonts w:cs="TimesNewRomanPSMT" w:ascii="TimesNewRomanPSMT" w:hAnsi="TimesNewRomanPSMT"/>
          <w:color w:val="000000"/>
        </w:rPr>
        <w:t>( ) Não ter sido condenada, a licitante ou seus dirigentes, por infringir as leis de combate à discriminação, em todas as suas formas, por motivos de raça, gênero e outros, conforme dispõe:</w:t>
      </w:r>
    </w:p>
    <w:p>
      <w:pPr>
        <w:pStyle w:val="Normal"/>
        <w:spacing w:lineRule="auto" w:line="240" w:before="0" w:after="0"/>
        <w:ind w:firstLine="1276"/>
        <w:jc w:val="both"/>
        <w:rPr>
          <w:rFonts w:ascii="TimesNewRomanPSMT" w:hAnsi="TimesNewRomanPSMT" w:cs="TimesNewRomanPSMT"/>
          <w:color w:val="000000"/>
        </w:rPr>
      </w:pPr>
      <w:r>
        <w:rPr>
          <w:rFonts w:cs="TimesNewRomanPSMT" w:ascii="TimesNewRomanPSMT" w:hAnsi="TimesNewRomanPSMT"/>
          <w:color w:val="000000"/>
        </w:rPr>
        <w:t xml:space="preserve">• </w:t>
      </w:r>
      <w:r>
        <w:rPr>
          <w:rFonts w:cs="TimesNewRomanPSMT" w:ascii="TimesNewRomanPSMT" w:hAnsi="TimesNewRomanPSMT"/>
          <w:color w:val="000000"/>
        </w:rPr>
        <w:t>A Constituição Federal de 1988 em seu inciso IV do art. 3º; inciso I do art. 5º; e</w:t>
      </w:r>
    </w:p>
    <w:p>
      <w:pPr>
        <w:pStyle w:val="Normal"/>
        <w:spacing w:lineRule="auto" w:line="240" w:before="0" w:after="0"/>
        <w:ind w:firstLine="1276"/>
        <w:jc w:val="both"/>
        <w:rPr>
          <w:rFonts w:ascii="TimesNewRomanPSMT" w:hAnsi="TimesNewRomanPSMT" w:cs="TimesNewRomanPSMT"/>
          <w:color w:val="000000"/>
        </w:rPr>
      </w:pPr>
      <w:r>
        <w:rPr>
          <w:rFonts w:cs="TimesNewRomanPSMT" w:ascii="TimesNewRomanPSMT" w:hAnsi="TimesNewRomanPSMT"/>
          <w:color w:val="000000"/>
        </w:rPr>
        <w:t xml:space="preserve">• </w:t>
      </w:r>
      <w:r>
        <w:rPr>
          <w:rFonts w:cs="TimesNewRomanPSMT" w:ascii="TimesNewRomanPSMT" w:hAnsi="TimesNewRomanPSMT"/>
          <w:color w:val="000000"/>
        </w:rPr>
        <w:t>Os arts. 38 e 39 do Estatuto da Igualdade Racial, Lei nº 12.288, de 20 de julho de 2010.</w:t>
      </w:r>
    </w:p>
    <w:p>
      <w:pPr>
        <w:pStyle w:val="Normal"/>
        <w:spacing w:lineRule="auto" w:line="240" w:before="0" w:after="0"/>
        <w:jc w:val="both"/>
        <w:rPr>
          <w:rFonts w:ascii="TimesNewRomanPSMT" w:hAnsi="TimesNewRomanPSMT" w:cs="TimesNewRomanPSMT"/>
          <w:color w:val="000000"/>
        </w:rPr>
      </w:pPr>
      <w:r>
        <w:rPr>
          <w:rFonts w:cs="TimesNewRomanPSMT" w:ascii="TimesNewRomanPSMT" w:hAnsi="TimesNewRomanPSMT"/>
          <w:color w:val="000000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NewRomanPSMT" w:hAnsi="TimesNewRomanPSMT" w:cs="TimesNewRomanPSMT"/>
          <w:color w:val="000000"/>
        </w:rPr>
      </w:pPr>
      <w:r>
        <w:rPr>
          <w:rFonts w:cs="TimesNewRomanPSMT" w:ascii="TimesNewRomanPSMT" w:hAnsi="TimesNewRomanPSMT"/>
          <w:color w:val="000000"/>
        </w:rPr>
        <w:t>( ) Não explorar o trabalho infantojuvenil, em atenção ao que dispõe:</w:t>
      </w:r>
    </w:p>
    <w:p>
      <w:pPr>
        <w:pStyle w:val="Normal"/>
        <w:spacing w:lineRule="auto" w:line="240" w:before="0" w:after="0"/>
        <w:ind w:firstLine="1276"/>
        <w:jc w:val="both"/>
        <w:rPr>
          <w:rFonts w:ascii="TimesNewRomanPSMT" w:hAnsi="TimesNewRomanPSMT" w:cs="TimesNewRomanPSMT"/>
          <w:color w:val="000000"/>
        </w:rPr>
      </w:pPr>
      <w:r>
        <w:rPr>
          <w:rFonts w:cs="TimesNewRomanPSMT" w:ascii="TimesNewRomanPSMT" w:hAnsi="TimesNewRomanPSMT"/>
          <w:color w:val="000000"/>
        </w:rPr>
        <w:t xml:space="preserve">• </w:t>
      </w:r>
      <w:r>
        <w:rPr>
          <w:rFonts w:cs="TimesNewRomanPSMT" w:ascii="TimesNewRomanPSMT" w:hAnsi="TimesNewRomanPSMT"/>
          <w:color w:val="000000"/>
        </w:rPr>
        <w:t>O inciso XXXIII do art. 7º da Constituição Federal de 1988;</w:t>
      </w:r>
    </w:p>
    <w:p>
      <w:pPr>
        <w:pStyle w:val="Normal"/>
        <w:spacing w:lineRule="auto" w:line="240" w:before="0" w:after="0"/>
        <w:ind w:firstLine="1276"/>
        <w:jc w:val="both"/>
        <w:rPr>
          <w:rFonts w:ascii="TimesNewRomanPSMT" w:hAnsi="TimesNewRomanPSMT" w:cs="TimesNewRomanPSMT"/>
          <w:color w:val="000000"/>
        </w:rPr>
      </w:pPr>
      <w:r>
        <w:rPr>
          <w:rFonts w:cs="TimesNewRomanPSMT" w:ascii="TimesNewRomanPSMT" w:hAnsi="TimesNewRomanPSMT"/>
          <w:color w:val="000000"/>
        </w:rPr>
        <w:t xml:space="preserve">• </w:t>
      </w:r>
      <w:r>
        <w:rPr>
          <w:rFonts w:cs="TimesNewRomanPSMT" w:ascii="TimesNewRomanPSMT" w:hAnsi="TimesNewRomanPSMT"/>
          <w:color w:val="000000"/>
        </w:rPr>
        <w:t>O Título III do Capítulo IV do Decreto-Lei nº 5.452, de 1 de maio de 1943 (CLT);</w:t>
      </w:r>
    </w:p>
    <w:p>
      <w:pPr>
        <w:pStyle w:val="Normal"/>
        <w:spacing w:lineRule="auto" w:line="240" w:before="0" w:after="0"/>
        <w:ind w:firstLine="1276"/>
        <w:jc w:val="both"/>
        <w:rPr>
          <w:rFonts w:ascii="TimesNewRomanPSMT" w:hAnsi="TimesNewRomanPSMT" w:cs="TimesNewRomanPSMT"/>
          <w:color w:val="000000"/>
        </w:rPr>
      </w:pPr>
      <w:r>
        <w:rPr>
          <w:rFonts w:cs="TimesNewRomanPSMT" w:ascii="TimesNewRomanPSMT" w:hAnsi="TimesNewRomanPSMT"/>
          <w:color w:val="000000"/>
        </w:rPr>
        <w:t xml:space="preserve">• </w:t>
      </w:r>
      <w:r>
        <w:rPr>
          <w:rFonts w:cs="TimesNewRomanPSMT" w:ascii="TimesNewRomanPSMT" w:hAnsi="TimesNewRomanPSMT"/>
          <w:color w:val="000000"/>
        </w:rPr>
        <w:t>Os arts. 60 a 69 da Lei nº 8.069, de 19 de julho de 1990 (ECA);</w:t>
      </w:r>
    </w:p>
    <w:p>
      <w:pPr>
        <w:pStyle w:val="Normal"/>
        <w:spacing w:lineRule="auto" w:line="240" w:before="0" w:after="0"/>
        <w:ind w:firstLine="1276"/>
        <w:jc w:val="both"/>
        <w:rPr>
          <w:rFonts w:ascii="TimesNewRomanPSMT" w:hAnsi="TimesNewRomanPSMT" w:cs="TimesNewRomanPSMT"/>
          <w:color w:val="000000"/>
        </w:rPr>
      </w:pPr>
      <w:r>
        <w:rPr>
          <w:rFonts w:cs="TimesNewRomanPSMT" w:ascii="TimesNewRomanPSMT" w:hAnsi="TimesNewRomanPSMT"/>
          <w:color w:val="000000"/>
        </w:rPr>
        <w:t xml:space="preserve">• </w:t>
      </w:r>
      <w:r>
        <w:rPr>
          <w:rFonts w:cs="TimesNewRomanPSMT" w:ascii="TimesNewRomanPSMT" w:hAnsi="TimesNewRomanPSMT"/>
          <w:color w:val="000000"/>
        </w:rPr>
        <w:t>A Lei nº 8.069, de 19 de julho de 1990;</w:t>
      </w:r>
    </w:p>
    <w:p>
      <w:pPr>
        <w:pStyle w:val="Normal"/>
        <w:spacing w:lineRule="auto" w:line="240" w:before="0" w:after="0"/>
        <w:ind w:firstLine="1276"/>
        <w:jc w:val="both"/>
        <w:rPr>
          <w:rFonts w:ascii="TimesNewRomanPSMT" w:hAnsi="TimesNewRomanPSMT" w:cs="TimesNewRomanPSMT"/>
          <w:color w:val="000000"/>
        </w:rPr>
      </w:pPr>
      <w:r>
        <w:rPr>
          <w:rFonts w:cs="TimesNewRomanPSMT" w:ascii="TimesNewRomanPSMT" w:hAnsi="TimesNewRomanPSMT"/>
          <w:color w:val="000000"/>
        </w:rPr>
        <w:t xml:space="preserve">• </w:t>
      </w:r>
      <w:r>
        <w:rPr>
          <w:rFonts w:cs="TimesNewRomanPSMT" w:ascii="TimesNewRomanPSMT" w:hAnsi="TimesNewRomanPSMT"/>
          <w:color w:val="000000"/>
        </w:rPr>
        <w:t>O Decreto nº 6.841, de 12 de junho de 2008, o qual trata da proibição das piores formas de trabalho infantil e ação imediata para sua eliminação.</w:t>
      </w:r>
    </w:p>
    <w:p>
      <w:pPr>
        <w:pStyle w:val="Normal"/>
        <w:spacing w:lineRule="auto" w:line="240" w:before="0" w:after="0"/>
        <w:jc w:val="both"/>
        <w:rPr>
          <w:rFonts w:ascii="TimesNewRomanPSMT" w:hAnsi="TimesNewRomanPSMT" w:cs="TimesNewRomanPSMT"/>
          <w:color w:val="000000"/>
        </w:rPr>
      </w:pPr>
      <w:r>
        <w:rPr>
          <w:rFonts w:cs="TimesNewRomanPSMT" w:ascii="TimesNewRomanPSMT" w:hAnsi="TimesNewRomanPSMT"/>
          <w:color w:val="000000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NewRomanPSMT" w:hAnsi="TimesNewRomanPSMT" w:cs="TimesNewRomanPSMT"/>
          <w:color w:val="000000"/>
        </w:rPr>
      </w:pPr>
      <w:r>
        <w:rPr>
          <w:rFonts w:cs="TimesNewRomanPSMT" w:ascii="TimesNewRomanPSMT" w:hAnsi="TimesNewRomanPSMT"/>
          <w:color w:val="000000"/>
        </w:rPr>
        <w:t>( ) Não praticar, de nenhuma forma, ações que possam ser enquadradas nos arts. 1º e 170 da Constituição Federal, nos arts. 149, 203 e 207 do Código Penal (dispositivos que tratam do trabalho análogo ao de escravo e tráfico de pessoas para esse fim), no Decreto nº 5.017/2004, que promulga o Protocolo de Palermo e nas convenções OIT 29 e 105.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NewRomanPSMT" w:hAnsi="TimesNewRomanPSMT" w:cs="TimesNewRomanPSMT"/>
          <w:color w:val="000000"/>
        </w:rPr>
      </w:pPr>
      <w:r>
        <w:rPr>
          <w:rFonts w:cs="TimesNewRomanPSMT" w:ascii="TimesNewRomanPSMT" w:hAnsi="TimesNewRomanPSMT"/>
          <w:color w:val="000000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NewRomanPSMT" w:hAnsi="TimesNewRomanPSMT" w:cs="TimesNewRomanPSMT"/>
          <w:color w:val="000000"/>
        </w:rPr>
      </w:pPr>
      <w:r>
        <w:rPr>
          <w:rFonts w:cs="TimesNewRomanPSMT" w:ascii="TimesNewRomanPSMT" w:hAnsi="TimesNewRomanPSMT"/>
          <w:color w:val="000000"/>
        </w:rPr>
        <w:t>(  ) Compromisso e responsabilidade com a Sustentabilidade Ambiental exigido para habilitação no edital do referido certame licitatório conforme previsto no artigo 5º da IN/SLTI/MPOG 01/2010, respeitando as normas de proteção do meio ambiente do Decreto 7.746/12.</w:t>
      </w:r>
    </w:p>
    <w:p>
      <w:pPr>
        <w:pStyle w:val="Normal"/>
        <w:spacing w:lineRule="auto" w:line="240" w:before="0" w:after="0"/>
        <w:jc w:val="both"/>
        <w:rPr>
          <w:rFonts w:ascii="TimesNewRomanPSMT" w:hAnsi="TimesNewRomanPSMT" w:cs="TimesNewRomanPSMT"/>
          <w:color w:val="000000"/>
        </w:rPr>
      </w:pPr>
      <w:r>
        <w:rPr>
          <w:rFonts w:cs="TimesNewRomanPSMT" w:ascii="TimesNewRomanPSMT" w:hAnsi="TimesNewRomanPSMT"/>
          <w:color w:val="000000"/>
        </w:rPr>
      </w:r>
    </w:p>
    <w:p>
      <w:pPr>
        <w:pStyle w:val="Normal"/>
        <w:spacing w:lineRule="auto" w:line="240" w:before="0" w:after="0"/>
        <w:jc w:val="both"/>
        <w:rPr>
          <w:rFonts w:ascii="TimesNewRomanPSMT" w:hAnsi="TimesNewRomanPSMT" w:cs="TimesNewRomanPSMT"/>
          <w:color w:val="000000"/>
        </w:rPr>
      </w:pPr>
      <w:r>
        <w:rPr>
          <w:rFonts w:cs="TimesNewRomanPSMT" w:ascii="TimesNewRomanPSMT" w:hAnsi="TimesNewRomanPSMT"/>
          <w:color w:val="000000"/>
        </w:rPr>
      </w:r>
    </w:p>
    <w:p>
      <w:pPr>
        <w:pStyle w:val="Normal"/>
        <w:spacing w:lineRule="auto" w:line="240" w:before="0" w:after="0"/>
        <w:jc w:val="both"/>
        <w:rPr>
          <w:rFonts w:ascii="TimesNewRomanPSMT" w:hAnsi="TimesNewRomanPSMT" w:cs="TimesNewRomanPSMT"/>
          <w:color w:val="000000"/>
        </w:rPr>
      </w:pPr>
      <w:r>
        <w:rPr>
          <w:rFonts w:cs="TimesNewRomanPSMT" w:ascii="TimesNewRomanPSMT" w:hAnsi="TimesNewRomanPSMT"/>
          <w:color w:val="000000"/>
        </w:rPr>
      </w:r>
    </w:p>
    <w:p>
      <w:pPr>
        <w:pStyle w:val="Normal"/>
        <w:spacing w:lineRule="auto" w:line="240" w:before="0" w:after="0"/>
        <w:jc w:val="center"/>
        <w:rPr>
          <w:rFonts w:ascii="TimesNewRomanPSMT" w:hAnsi="TimesNewRomanPSMT" w:cs="TimesNewRomanPSMT"/>
          <w:color w:val="000000"/>
        </w:rPr>
      </w:pPr>
      <w:r>
        <w:rPr>
          <w:rFonts w:cs="TimesNewRomanPSMT" w:ascii="TimesNewRomanPSMT" w:hAnsi="TimesNewRomanPSMT"/>
          <w:color w:val="000000"/>
        </w:rPr>
        <w:t>xxxx, ___ de ____________ de 20__.</w:t>
      </w:r>
    </w:p>
    <w:p>
      <w:pPr>
        <w:pStyle w:val="Normal"/>
        <w:spacing w:before="0" w:after="200"/>
        <w:jc w:val="center"/>
        <w:rPr/>
      </w:pPr>
      <w:r>
        <w:rPr>
          <w:rFonts w:cs="TimesNewRomanPS-ItalicMT" w:ascii="TimesNewRomanPS-ItalicMT" w:hAnsi="TimesNewRomanPS-ItalicMT"/>
          <w:i/>
          <w:iCs/>
          <w:color w:val="000000"/>
        </w:rPr>
        <w:t>(Representante Legal da Empresa)</w:t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TimesNewRomanPS-BoldMT">
    <w:charset w:val="01"/>
    <w:family w:val="roman"/>
    <w:pitch w:val="variable"/>
  </w:font>
  <w:font w:name="TimesNewRomanPSMT">
    <w:charset w:val="01"/>
    <w:family w:val="roman"/>
    <w:pitch w:val="variable"/>
  </w:font>
  <w:font w:name="TimesNewRomanPS-ItalicMT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33fa3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odetexto">
    <w:name w:val="Body Text"/>
    <w:basedOn w:val="Normal"/>
    <w:pPr>
      <w:spacing w:before="0" w:after="140"/>
    </w:pPr>
    <w:rPr/>
  </w:style>
  <w:style w:type="paragraph" w:styleId="Lista">
    <w:name w:val="List"/>
    <w:basedOn w:val="Corpode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Lohit Devanagari"/>
    </w:rPr>
  </w:style>
  <w:style w:type="paragraph" w:styleId="Ttulododocumento">
    <w:name w:val="Title"/>
    <w:basedOn w:val="Normal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LibreOffice/6.0.7.3$Linux_X86_64 LibreOffice_project/00m0$Build-3</Application>
  <Pages>1</Pages>
  <Words>355</Words>
  <Characters>1748</Characters>
  <CharactersWithSpaces>2085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2020-10-05T20:31:00Z</dcterms:created>
  <dc:creator>DABM-4122</dc:creator>
  <dc:description/>
  <dc:language>pt-BR</dc:language>
  <cp:lastModifiedBy/>
  <cp:lastPrinted>2020-10-13T12:21:00Z</cp:lastPrinted>
  <dcterms:modified xsi:type="dcterms:W3CDTF">2020-10-29T09:18:36Z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